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61" w:rsidRDefault="00D32E25" w14:paraId="6BA6B573" w14:textId="77777777">
      <w:pPr>
        <w:spacing w:after="0" w:line="259" w:lineRule="auto"/>
        <w:ind w:left="0" w:firstLine="0"/>
      </w:pPr>
      <w:r>
        <w:rPr>
          <w:b/>
          <w:sz w:val="26"/>
        </w:rPr>
        <w:t xml:space="preserve">Requirement of Criminal Record Checks for Staff </w:t>
      </w:r>
    </w:p>
    <w:p w:rsidR="005E1161" w:rsidRDefault="00D32E25" w14:paraId="6BA6B574" w14:textId="77777777">
      <w:pPr>
        <w:spacing w:after="0" w:line="259" w:lineRule="auto"/>
        <w:ind w:left="0" w:firstLine="0"/>
      </w:pPr>
      <w:r>
        <w:t xml:space="preserve"> </w:t>
      </w:r>
    </w:p>
    <w:p w:rsidR="005E1161" w:rsidRDefault="00D32E25" w14:paraId="6BA6B575" w14:textId="77777777">
      <w:pPr>
        <w:spacing w:after="0" w:line="259" w:lineRule="auto"/>
        <w:ind w:left="0" w:firstLine="0"/>
      </w:pPr>
      <w:r>
        <w:t xml:space="preserve"> </w:t>
      </w:r>
    </w:p>
    <w:p w:rsidR="005E1161" w:rsidRDefault="00D32E25" w14:paraId="6BA6B576" w14:textId="77777777">
      <w:pPr>
        <w:ind w:left="-3" w:right="37" w:firstLine="0"/>
      </w:pPr>
      <w:r>
        <w:t xml:space="preserve">Criminal record checks arise from four main areas of need, to: </w:t>
      </w:r>
    </w:p>
    <w:p w:rsidR="005E1161" w:rsidRDefault="00D32E25" w14:paraId="6BA6B577" w14:textId="77777777">
      <w:pPr>
        <w:spacing w:after="11" w:line="259" w:lineRule="auto"/>
        <w:ind w:left="0" w:firstLine="0"/>
      </w:pPr>
      <w:r>
        <w:t xml:space="preserve"> </w:t>
      </w:r>
    </w:p>
    <w:p w:rsidR="005E1161" w:rsidRDefault="00D32E25" w14:paraId="6BA6B578" w14:textId="77777777">
      <w:pPr>
        <w:numPr>
          <w:ilvl w:val="0"/>
          <w:numId w:val="1"/>
        </w:numPr>
        <w:ind w:right="37" w:hanging="398"/>
      </w:pPr>
      <w:r>
        <w:t xml:space="preserve">Protect children; the Protection of Children Act defines children as up to 18 years of age </w:t>
      </w:r>
    </w:p>
    <w:p w:rsidR="005E1161" w:rsidRDefault="00D32E25" w14:paraId="6BA6B579" w14:textId="77777777">
      <w:pPr>
        <w:numPr>
          <w:ilvl w:val="0"/>
          <w:numId w:val="1"/>
        </w:numPr>
        <w:ind w:right="37" w:hanging="398"/>
      </w:pPr>
      <w:r>
        <w:t xml:space="preserve">Protect vulnerable adults, who include the old, weak, infirm, mentally ill, disabled, addicted, whether at home, in hospital, in prison, or in-care </w:t>
      </w:r>
    </w:p>
    <w:p w:rsidR="005E1161" w:rsidRDefault="00D32E25" w14:paraId="6BA6B57A" w14:textId="77777777">
      <w:pPr>
        <w:numPr>
          <w:ilvl w:val="0"/>
          <w:numId w:val="1"/>
        </w:numPr>
        <w:spacing w:after="26"/>
        <w:ind w:right="37" w:hanging="398"/>
      </w:pPr>
      <w:r>
        <w:t xml:space="preserve">Meet the requirements of selected professions (Health, Education, Sports Governing Bodies) </w:t>
      </w:r>
    </w:p>
    <w:p w:rsidR="005E1161" w:rsidRDefault="00D32E25" w14:paraId="6BA6B57B" w14:textId="77777777">
      <w:pPr>
        <w:numPr>
          <w:ilvl w:val="0"/>
          <w:numId w:val="1"/>
        </w:numPr>
        <w:ind w:right="37" w:hanging="398"/>
      </w:pPr>
      <w:r>
        <w:t>Meet the requir</w:t>
      </w:r>
      <w:r>
        <w:t xml:space="preserve">ements of liquor licensing authorities, for the sale of alcohol in university and Student Union bars.  </w:t>
      </w:r>
    </w:p>
    <w:p w:rsidR="005E1161" w:rsidRDefault="00D32E25" w14:paraId="6BA6B57C" w14:textId="77777777">
      <w:pPr>
        <w:spacing w:after="0" w:line="259" w:lineRule="auto"/>
        <w:ind w:left="689" w:firstLine="0"/>
      </w:pPr>
      <w:r>
        <w:t xml:space="preserve"> </w:t>
      </w:r>
    </w:p>
    <w:p w:rsidR="005E1161" w:rsidRDefault="00D32E25" w14:paraId="6BA6B57D" w14:textId="3A8BB26F">
      <w:pPr>
        <w:ind w:left="-3" w:right="37" w:firstLine="0"/>
      </w:pPr>
      <w:r>
        <w:t>CRB checks are undertaken for both staff and students.</w:t>
      </w:r>
      <w:r>
        <w:t xml:space="preserve"> Criteria for applying CRB checks to the various staff groups are: </w:t>
      </w:r>
    </w:p>
    <w:p w:rsidR="005E1161" w:rsidRDefault="00D32E25" w14:paraId="6BA6B57E" w14:textId="77777777">
      <w:pPr>
        <w:spacing w:after="19" w:line="259" w:lineRule="auto"/>
        <w:ind w:left="0" w:firstLine="0"/>
      </w:pPr>
      <w:r>
        <w:t xml:space="preserve"> </w:t>
      </w:r>
      <w:r>
        <w:tab/>
        <w:t xml:space="preserve"> </w:t>
      </w:r>
    </w:p>
    <w:p w:rsidR="005E1161" w:rsidRDefault="00D32E25" w14:paraId="6BA6B57F" w14:textId="1C49274A">
      <w:pPr>
        <w:numPr>
          <w:ilvl w:val="0"/>
          <w:numId w:val="1"/>
        </w:numPr>
        <w:ind w:right="37" w:hanging="398"/>
      </w:pPr>
      <w:r>
        <w:t>Staff working with chil</w:t>
      </w:r>
      <w:r>
        <w:t xml:space="preserve">dren and vulnerable adults, alone, or unsupervised, for a significant period of time.  This means staff coming into contact with students who are under 18 at the time of entry to the university and with disabled students. </w:t>
      </w:r>
      <w:r>
        <w:t>These will include personal tutor</w:t>
      </w:r>
      <w:r>
        <w:t xml:space="preserve">s, wardens of accommodation, Sports Centre staff who coach children, Student Care Services staff, Student Union staff and sabbaticals, and additional learning support staff assigned to disabled students   </w:t>
      </w:r>
    </w:p>
    <w:p w:rsidR="005E1161" w:rsidRDefault="00D32E25" w14:paraId="6BA6B580" w14:textId="3D7508FE">
      <w:pPr>
        <w:numPr>
          <w:ilvl w:val="0"/>
          <w:numId w:val="1"/>
        </w:numPr>
        <w:spacing w:after="26"/>
        <w:ind w:right="37" w:hanging="398"/>
      </w:pPr>
      <w:r>
        <w:t>Students who work with children and vulnerable adu</w:t>
      </w:r>
      <w:r>
        <w:t>lts, alone, or unsupervised, for significant periods of time, during placements, or as part of the practical work which forms part of a qualifying course of study.</w:t>
      </w:r>
      <w:r>
        <w:t xml:space="preserve"> The CRB check would either be carried out as part of the admissions process, or on entry to</w:t>
      </w:r>
      <w:r>
        <w:t xml:space="preserve"> the course, or during the run-up to placement in the middle of the course of study </w:t>
      </w:r>
    </w:p>
    <w:p w:rsidR="005E1161" w:rsidRDefault="00D32E25" w14:paraId="6BA6B581" w14:textId="77777777">
      <w:pPr>
        <w:numPr>
          <w:ilvl w:val="0"/>
          <w:numId w:val="1"/>
        </w:numPr>
        <w:spacing w:after="26"/>
        <w:ind w:right="37" w:hanging="398"/>
      </w:pPr>
      <w:r>
        <w:t>Research staff and PhD students working on research projects which brings them into contact with children or vulnerable adults, alone, or unsupervised, for a significant p</w:t>
      </w:r>
      <w:r>
        <w:t xml:space="preserve">eriod of time.  The CRB check would either be applied on the recruitment of staff, where it is known and planned, or at the start of field work in a qualifying area when it emerges during a project </w:t>
      </w:r>
    </w:p>
    <w:p w:rsidR="005E1161" w:rsidRDefault="00D32E25" w14:paraId="6BA6B582" w14:textId="4DE6BA36">
      <w:pPr>
        <w:numPr>
          <w:ilvl w:val="0"/>
          <w:numId w:val="1"/>
        </w:numPr>
        <w:spacing w:after="26"/>
        <w:ind w:right="37" w:hanging="398"/>
      </w:pPr>
      <w:r>
        <w:t>Requirements of professional bodies as a pre-condition to</w:t>
      </w:r>
      <w:r>
        <w:t xml:space="preserve"> entry and practice. </w:t>
      </w:r>
      <w:r>
        <w:t xml:space="preserve">This affects health, education, social care sectors, as well as leisure, e.g. sports coaching in Sports Centres which come under the jurisdiction of Sports Governing Bodies </w:t>
      </w:r>
    </w:p>
    <w:p w:rsidR="005E1161" w:rsidRDefault="00D32E25" w14:paraId="6BA6B583" w14:textId="77777777">
      <w:pPr>
        <w:numPr>
          <w:ilvl w:val="0"/>
          <w:numId w:val="1"/>
        </w:numPr>
        <w:spacing w:after="26"/>
        <w:ind w:right="37" w:hanging="398"/>
      </w:pPr>
      <w:r>
        <w:t>Service providers, such as, Catering and Student Unions, for</w:t>
      </w:r>
      <w:r>
        <w:t xml:space="preserve"> personal holders of licences to sell alcohol (either basic or enhanced CRB checks), and Health Centre Nurses, who receive CRB checks </w:t>
      </w:r>
      <w:r>
        <w:lastRenderedPageBreak/>
        <w:t xml:space="preserve">when taking up their appointments as a requirement of their profession on a change of employment  </w:t>
      </w:r>
    </w:p>
    <w:p w:rsidR="005E1161" w:rsidRDefault="00D32E25" w14:paraId="6BA6B584" w14:textId="77777777">
      <w:pPr>
        <w:numPr>
          <w:ilvl w:val="0"/>
          <w:numId w:val="1"/>
        </w:numPr>
        <w:ind w:right="37" w:hanging="398"/>
      </w:pPr>
      <w:r>
        <w:t xml:space="preserve">A prospective area for future CRB checks could be Security staff. </w:t>
      </w:r>
    </w:p>
    <w:p w:rsidR="005E1161" w:rsidRDefault="00D32E25" w14:paraId="6BA6B585" w14:textId="77777777">
      <w:pPr>
        <w:spacing w:after="0" w:line="259" w:lineRule="auto"/>
        <w:ind w:left="0" w:firstLine="0"/>
      </w:pPr>
      <w:r>
        <w:t xml:space="preserve"> </w:t>
      </w:r>
    </w:p>
    <w:p w:rsidR="005E1161" w:rsidRDefault="00D32E25" w14:paraId="6BA6B586" w14:textId="77777777">
      <w:pPr>
        <w:ind w:left="-3" w:right="37" w:firstLine="0"/>
      </w:pPr>
      <w:r>
        <w:t>Because of the current risk-averse climate of society, it would appear that professional bodies are interpreting narrowly the CRB requirement for working alone with children and vulnerabl</w:t>
      </w:r>
      <w:r>
        <w:t xml:space="preserve">e adults to cover occasional access, opportunity or potential for access.   </w:t>
      </w:r>
    </w:p>
    <w:p w:rsidR="005E1161" w:rsidRDefault="00D32E25" w14:paraId="6BA6B587" w14:textId="77777777">
      <w:pPr>
        <w:spacing w:after="0" w:line="259" w:lineRule="auto"/>
        <w:ind w:left="12" w:firstLine="0"/>
      </w:pPr>
      <w:r>
        <w:t xml:space="preserve"> </w:t>
      </w:r>
    </w:p>
    <w:p w:rsidR="005E1161" w:rsidRDefault="00D32E25" w14:paraId="6BA6B588" w14:textId="27827D77">
      <w:pPr>
        <w:ind w:left="-3" w:right="37" w:firstLine="0"/>
      </w:pPr>
      <w:r>
        <w:t xml:space="preserve">No authoritative list exists for the areas of HE to which criminal record checks apply. </w:t>
      </w:r>
      <w:r>
        <w:t xml:space="preserve">Listed below are some areas where a CRB check would need to be considered: </w:t>
      </w:r>
    </w:p>
    <w:p w:rsidR="005E1161" w:rsidRDefault="00D32E25" w14:paraId="6BA6B589" w14:textId="77777777">
      <w:pPr>
        <w:spacing w:after="0" w:line="259" w:lineRule="auto"/>
        <w:ind w:left="12" w:firstLine="0"/>
      </w:pPr>
      <w:r>
        <w:t xml:space="preserve"> </w:t>
      </w:r>
    </w:p>
    <w:p w:rsidR="005E1161" w:rsidRDefault="00D32E25" w14:paraId="6BA6B58A" w14:textId="77777777">
      <w:pPr>
        <w:spacing w:after="0" w:line="259" w:lineRule="auto"/>
        <w:ind w:left="12" w:firstLine="0"/>
      </w:pPr>
      <w:r>
        <w:rPr>
          <w:b/>
        </w:rPr>
        <w:t xml:space="preserve"> </w:t>
      </w:r>
    </w:p>
    <w:p w:rsidR="005E1161" w:rsidRDefault="00D32E25" w14:paraId="6BA6B58B" w14:textId="77777777">
      <w:pPr>
        <w:spacing w:after="0" w:line="259" w:lineRule="auto"/>
        <w:ind w:left="12" w:firstLine="0"/>
      </w:pPr>
      <w:r>
        <w:rPr>
          <w:b/>
        </w:rPr>
        <w:t>HE Areas</w:t>
      </w:r>
      <w:r>
        <w:rPr>
          <w:b/>
        </w:rPr>
        <w:t xml:space="preserve"> of Applicability of CRB Checks </w:t>
      </w:r>
    </w:p>
    <w:p w:rsidR="005E1161" w:rsidRDefault="00D32E25" w14:paraId="6BA6B58C" w14:textId="77777777">
      <w:pPr>
        <w:spacing w:after="0" w:line="259" w:lineRule="auto"/>
        <w:ind w:left="677" w:firstLine="0"/>
      </w:pPr>
      <w:r>
        <w:rPr>
          <w:b/>
        </w:rPr>
        <w:t xml:space="preserve"> </w:t>
      </w:r>
    </w:p>
    <w:p w:rsidR="005E1161" w:rsidRDefault="00D32E25" w14:paraId="6BA6B58D" w14:textId="383DAA6D">
      <w:pPr>
        <w:numPr>
          <w:ilvl w:val="0"/>
          <w:numId w:val="1"/>
        </w:numPr>
        <w:ind w:right="37" w:hanging="398"/>
      </w:pPr>
      <w:r>
        <w:t xml:space="preserve">Senior Officers – VC, Pro VCs, Secretary &amp; Registrar, Director of Finance </w:t>
      </w:r>
      <w:bookmarkStart w:name="_GoBack" w:id="0"/>
      <w:bookmarkEnd w:id="0"/>
      <w:r>
        <w:t>- with</w:t>
      </w:r>
      <w:r>
        <w:t xml:space="preserve"> overarching responsibility for activities requiring CRB checks, and for financial probity </w:t>
      </w:r>
    </w:p>
    <w:p w:rsidR="005E1161" w:rsidRDefault="00D32E25" w14:paraId="6BA6B58E" w14:textId="77777777">
      <w:pPr>
        <w:numPr>
          <w:ilvl w:val="0"/>
          <w:numId w:val="1"/>
        </w:numPr>
        <w:ind w:right="37" w:hanging="398"/>
      </w:pPr>
      <w:r>
        <w:t xml:space="preserve">Lead </w:t>
      </w:r>
      <w:proofErr w:type="spellStart"/>
      <w:r>
        <w:t>Countersignatories</w:t>
      </w:r>
      <w:proofErr w:type="spellEnd"/>
      <w:r>
        <w:t xml:space="preserve"> and </w:t>
      </w:r>
      <w:proofErr w:type="spellStart"/>
      <w:r>
        <w:t>Countersignatories</w:t>
      </w:r>
      <w:proofErr w:type="spellEnd"/>
      <w:r>
        <w:t xml:space="preserve"> r</w:t>
      </w:r>
      <w:r>
        <w:t xml:space="preserve">egistered with the CRB </w:t>
      </w:r>
    </w:p>
    <w:p w:rsidR="005E1161" w:rsidRDefault="00D32E25" w14:paraId="6BA6B58F" w14:textId="77777777">
      <w:pPr>
        <w:numPr>
          <w:ilvl w:val="0"/>
          <w:numId w:val="1"/>
        </w:numPr>
        <w:ind w:right="37" w:hanging="398"/>
      </w:pPr>
      <w:r>
        <w:t xml:space="preserve">Personal tutors assigned to under 18s and vulnerable, disabled students </w:t>
      </w:r>
    </w:p>
    <w:p w:rsidR="005E1161" w:rsidRDefault="00D32E25" w14:paraId="6BA6B590" w14:textId="77777777">
      <w:pPr>
        <w:numPr>
          <w:ilvl w:val="0"/>
          <w:numId w:val="1"/>
        </w:numPr>
        <w:ind w:right="37" w:hanging="398"/>
      </w:pPr>
      <w:r>
        <w:t xml:space="preserve">Wardens and sub-wardens with under 18s and disabled students in their care </w:t>
      </w:r>
    </w:p>
    <w:p w:rsidR="005E1161" w:rsidRDefault="00D32E25" w14:paraId="6BA6B591" w14:textId="77777777">
      <w:pPr>
        <w:numPr>
          <w:ilvl w:val="0"/>
          <w:numId w:val="1"/>
        </w:numPr>
        <w:ind w:right="37" w:hanging="398"/>
      </w:pPr>
      <w:r>
        <w:t xml:space="preserve">Additional Learning Support Staff assisting disabled students </w:t>
      </w:r>
    </w:p>
    <w:p w:rsidR="005E1161" w:rsidRDefault="00D32E25" w14:paraId="6BA6B592" w14:textId="77777777">
      <w:pPr>
        <w:numPr>
          <w:ilvl w:val="0"/>
          <w:numId w:val="1"/>
        </w:numPr>
        <w:ind w:right="37" w:hanging="398"/>
      </w:pPr>
      <w:r>
        <w:t>Student Care Service</w:t>
      </w:r>
      <w:r>
        <w:t xml:space="preserve">s counselling staff dealing with under 18s and disabled students </w:t>
      </w:r>
    </w:p>
    <w:p w:rsidR="005E1161" w:rsidRDefault="00D32E25" w14:paraId="6BA6B593" w14:textId="77777777">
      <w:pPr>
        <w:numPr>
          <w:ilvl w:val="0"/>
          <w:numId w:val="1"/>
        </w:numPr>
        <w:ind w:right="37" w:hanging="398"/>
      </w:pPr>
      <w:r>
        <w:t xml:space="preserve">Health Centre nurses – professional body requirement on taking up any new post </w:t>
      </w:r>
    </w:p>
    <w:p w:rsidR="005E1161" w:rsidRDefault="00D32E25" w14:paraId="6BA6B594" w14:textId="77777777">
      <w:pPr>
        <w:numPr>
          <w:ilvl w:val="0"/>
          <w:numId w:val="1"/>
        </w:numPr>
        <w:ind w:right="37" w:hanging="398"/>
      </w:pPr>
      <w:r>
        <w:t xml:space="preserve">Head of Student Care dealing with under 18s and disabled students </w:t>
      </w:r>
    </w:p>
    <w:p w:rsidR="005E1161" w:rsidRDefault="00D32E25" w14:paraId="6BA6B595" w14:textId="77777777">
      <w:pPr>
        <w:numPr>
          <w:ilvl w:val="0"/>
          <w:numId w:val="1"/>
        </w:numPr>
        <w:ind w:right="37" w:hanging="398"/>
      </w:pPr>
      <w:r>
        <w:t>Student Union sabbaticals and permanent off</w:t>
      </w:r>
      <w:r>
        <w:t xml:space="preserve">icers dealing with under </w:t>
      </w:r>
    </w:p>
    <w:p w:rsidR="005E1161" w:rsidRDefault="00D32E25" w14:paraId="6BA6B596" w14:textId="77777777">
      <w:pPr>
        <w:ind w:left="744" w:right="37" w:firstLine="0"/>
      </w:pPr>
      <w:r>
        <w:t xml:space="preserve">18s and disabled students </w:t>
      </w:r>
    </w:p>
    <w:p w:rsidR="005E1161" w:rsidRDefault="00D32E25" w14:paraId="6BA6B597" w14:textId="77777777">
      <w:pPr>
        <w:numPr>
          <w:ilvl w:val="0"/>
          <w:numId w:val="1"/>
        </w:numPr>
        <w:ind w:right="37" w:hanging="398"/>
      </w:pPr>
      <w:r>
        <w:t xml:space="preserve">Academic researchers, research officers and research assistants working with children and vulnerable adults </w:t>
      </w:r>
    </w:p>
    <w:p w:rsidR="005E1161" w:rsidRDefault="00D32E25" w14:paraId="6BA6B598" w14:textId="77777777">
      <w:pPr>
        <w:numPr>
          <w:ilvl w:val="0"/>
          <w:numId w:val="1"/>
        </w:numPr>
        <w:ind w:right="37" w:hanging="398"/>
      </w:pPr>
      <w:r>
        <w:t xml:space="preserve">Sports Centre staff running weekend and vacation clubs and summer schools coaching children and disabled adults </w:t>
      </w:r>
    </w:p>
    <w:p w:rsidR="005E1161" w:rsidRDefault="00D32E25" w14:paraId="6BA6B599" w14:textId="77777777">
      <w:pPr>
        <w:numPr>
          <w:ilvl w:val="0"/>
          <w:numId w:val="1"/>
        </w:numPr>
        <w:ind w:right="37" w:hanging="398"/>
      </w:pPr>
      <w:r>
        <w:t xml:space="preserve">Alcohol licence holders in Catering, servicing bars, licensed restaurants and licensed social events, and in the Students Union. </w:t>
      </w:r>
    </w:p>
    <w:p w:rsidR="005E1161" w:rsidRDefault="00D32E25" w14:paraId="6BA6B59A" w14:textId="77777777">
      <w:pPr>
        <w:spacing w:after="0" w:line="259" w:lineRule="auto"/>
        <w:ind w:left="0" w:firstLine="0"/>
      </w:pPr>
      <w:r>
        <w:t xml:space="preserve"> </w:t>
      </w:r>
    </w:p>
    <w:p w:rsidR="005E1161" w:rsidRDefault="00D32E25" w14:paraId="6BA6B59B" w14:textId="77777777">
      <w:pPr>
        <w:spacing w:after="0" w:line="259" w:lineRule="auto"/>
        <w:ind w:left="0" w:firstLine="0"/>
        <w:jc w:val="right"/>
      </w:pPr>
      <w:r>
        <w:rPr>
          <w:sz w:val="19"/>
        </w:rPr>
        <w:t xml:space="preserve"> </w:t>
      </w:r>
    </w:p>
    <w:p w:rsidR="005E1161" w:rsidRDefault="00D32E25" w14:paraId="6BA6B59C" w14:textId="77777777">
      <w:pPr>
        <w:spacing w:after="0" w:line="259" w:lineRule="auto"/>
        <w:ind w:left="0" w:firstLine="0"/>
        <w:jc w:val="right"/>
      </w:pPr>
      <w:r>
        <w:rPr>
          <w:sz w:val="19"/>
        </w:rPr>
        <w:t xml:space="preserve"> </w:t>
      </w:r>
    </w:p>
    <w:p w:rsidR="005E1161" w:rsidRDefault="00D32E25" w14:paraId="6BA6B59D" w14:textId="77777777">
      <w:pPr>
        <w:spacing w:after="0" w:line="259" w:lineRule="auto"/>
        <w:ind w:left="0" w:firstLine="0"/>
        <w:jc w:val="right"/>
      </w:pPr>
      <w:r>
        <w:rPr>
          <w:sz w:val="19"/>
        </w:rPr>
        <w:t xml:space="preserve"> </w:t>
      </w:r>
    </w:p>
    <w:p w:rsidR="005E1161" w:rsidP="00D32E25" w:rsidRDefault="00D32E25" w14:paraId="6BA6B5AC" w14:textId="24E8E1C2">
      <w:pPr>
        <w:spacing w:after="0" w:line="259" w:lineRule="auto"/>
        <w:ind w:left="0" w:firstLine="0"/>
        <w:jc w:val="right"/>
      </w:pPr>
      <w:r>
        <w:rPr>
          <w:sz w:val="19"/>
        </w:rPr>
        <w:t xml:space="preserve"> </w:t>
      </w:r>
      <w:r>
        <w:rPr>
          <w:sz w:val="19"/>
        </w:rPr>
        <w:t>E</w:t>
      </w:r>
      <w:r>
        <w:rPr>
          <w:sz w:val="19"/>
        </w:rPr>
        <w:t>x</w:t>
      </w:r>
      <w:r>
        <w:rPr>
          <w:sz w:val="19"/>
        </w:rPr>
        <w:t>t</w:t>
      </w:r>
      <w:r>
        <w:rPr>
          <w:sz w:val="19"/>
        </w:rPr>
        <w:t>r</w:t>
      </w:r>
      <w:r>
        <w:rPr>
          <w:sz w:val="19"/>
        </w:rPr>
        <w:t>a</w:t>
      </w:r>
      <w:r>
        <w:rPr>
          <w:sz w:val="19"/>
        </w:rPr>
        <w:t xml:space="preserve">cted from SUMS Applications for Criminal Records Bureau Checks – Good Practice Guide </w:t>
      </w:r>
    </w:p>
    <w:sectPr w:rsidR="005E1161">
      <w:pgSz w:w="11400" w:h="15640"/>
      <w:pgMar w:top="1388" w:right="1330" w:bottom="1370" w:left="2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1378"/>
    <w:multiLevelType w:val="hybridMultilevel"/>
    <w:tmpl w:val="17428ED6"/>
    <w:lvl w:ilvl="0" w:tplc="3B72F604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D04E5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D67E0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C4B95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8484D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98DB1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9644C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B6CD0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60020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61"/>
    <w:rsid w:val="005E1161"/>
    <w:rsid w:val="00D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B573"/>
  <w15:docId w15:val="{8AD44217-E4F8-4072-9EB6-473D610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408" w:hanging="408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4DBEF-6DB0-4E3B-9A67-4B4CCA6A05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055fbe-b275-4ab2-a736-3fe52f22861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7B5FD5-7F26-49F8-ADF1-7E161A98F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505EF-5E7C-4209-A6B9-E18505161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CRB applicability.doc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Applicability</dc:title>
  <dc:subject>
  </dc:subject>
  <dc:creator>acsrdmp2</dc:creator>
  <cp:keywords>
  </cp:keywords>
  <cp:lastModifiedBy>Charlotte King</cp:lastModifiedBy>
  <cp:revision>2</cp:revision>
  <dcterms:created xsi:type="dcterms:W3CDTF">2022-01-18T15:21:00Z</dcterms:created>
  <dcterms:modified xsi:type="dcterms:W3CDTF">2022-01-18T15:23:38Z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Audience0">
    <vt:lpwstr>Staff|ff1fb7db-a1a3-43ae-b749-f59a898ec0c5</vt:lpwstr>
  </property>
  <property fmtid="{D5CDD505-2E9C-101B-9397-08002B2CF9AE}" pid="4" name="BrunelBaseOwner">
    <vt:lpwstr>1;#Human Resources|f8d90b84-687d-4021-8bd3-3e7c98868516</vt:lpwstr>
  </property>
  <property fmtid="{D5CDD505-2E9C-101B-9397-08002B2CF9AE}" pid="5" name="BrunelBaseOwner0">
    <vt:lpwstr>Human Resources|f8d90b84-687d-4021-8bd3-3e7c98868516</vt:lpwstr>
  </property>
  <property fmtid="{D5CDD505-2E9C-101B-9397-08002B2CF9AE}" pid="6" name="BrunelBaseAudience">
    <vt:lpwstr>2;#Staff|ff1fb7db-a1a3-43ae-b749-f59a898ec0c5</vt:lpwstr>
  </property>
  <property fmtid="{D5CDD505-2E9C-101B-9397-08002B2CF9AE}" pid="7" name="TaxCatchAll">
    <vt:lpwstr>2;#Staff|ff1fb7db-a1a3-43ae-b749-f59a898ec0c5;#1;#Human Resources|f8d90b84-687d-4021-8bd3-3e7c98868516</vt:lpwstr>
  </property>
</Properties>
</file>